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 Babylon, N.Y. 11704</w:t>
      </w:r>
    </w:p>
    <w:p w:rsidR="00000000" w:rsidDel="00000000" w:rsidP="00000000" w:rsidRDefault="00000000" w:rsidRPr="00000000">
      <w:pPr>
        <w:pBd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(631)697-8970</w:t>
      </w:r>
    </w:p>
    <w:p w:rsidR="00000000" w:rsidDel="00000000" w:rsidP="00000000" w:rsidRDefault="00000000" w:rsidRPr="00000000">
      <w:pPr>
        <w:pBd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Justice for the Forgotten and Future Americans Inc. is a nonprofit Corporation and shall operate exclusively for educational and charitable purposes within the meaning of Section 501(c)(3) of the Internal Revenue Code, or the corresponding section of any future Federal tax code. </w:t>
      </w:r>
    </w:p>
    <w:p w:rsidR="00000000" w:rsidDel="00000000" w:rsidP="00000000" w:rsidRDefault="00000000" w:rsidRPr="00000000">
      <w:pPr>
        <w:pBdr/>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Purpose of Statement</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Justice for the Forgotten and Future Americans Inc.</w:t>
        <w:tab/>
      </w:r>
      <w:r w:rsidDel="00000000" w:rsidR="00000000" w:rsidRPr="00000000">
        <w:rPr>
          <w:rFonts w:ascii="Times New Roman" w:cs="Times New Roman" w:eastAsia="Times New Roman" w:hAnsi="Times New Roman"/>
          <w:sz w:val="24"/>
          <w:szCs w:val="24"/>
          <w:rtl w:val="0"/>
        </w:rPr>
        <w:tab/>
        <w:tab/>
        <w:tab/>
        <w:t xml:space="preserve">4/26/17</w:t>
      </w:r>
    </w:p>
    <w:p w:rsidR="00000000" w:rsidDel="00000000" w:rsidP="00000000" w:rsidRDefault="00000000" w:rsidRPr="00000000">
      <w:pPr>
        <w:pBd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Terrace Ave.</w:t>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The Purpose</w:t>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provide public awareness, outreach and assistance to victims of abuse, by raising funds to lobby abuse laws, and other public venues as well as utilizing social media channels and the corporation’s website to provide facts, statistics, and other related data on causes, current efforts and solutions to eradicating antiquated laws to enforce victim’s rights.</w:t>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Our programs include sending out ambassadors to raise social consciousness about the cause on a local and global level, and to hold fundraising events in order to provide immediate relief and assistance to those suffering from abuse of all kinds, regardless of their race, ethnicity, or religion.</w:t>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maximize our impact on current efforts, we may seek to collaborate with other nonprofit organizations which fall under the 501(c) (3) section of the internal revenue code and are operated exclusively for educational and charitable purposes. At times, per the discretion of the board of directors, we may provide internships or volunteer opportunities which will provide opportunities for involvement in said activities and programs in order to have a greater impact for change.</w:t>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Public Benefit</w:t>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Justice for the Forgotten and Future Americans Inc. </w:t>
      </w:r>
      <w:r w:rsidDel="00000000" w:rsidR="00000000" w:rsidRPr="00000000">
        <w:rPr>
          <w:rFonts w:ascii="Times New Roman" w:cs="Times New Roman" w:eastAsia="Times New Roman" w:hAnsi="Times New Roman"/>
          <w:color w:val="000000"/>
          <w:sz w:val="24"/>
          <w:szCs w:val="24"/>
          <w:rtl w:val="0"/>
        </w:rPr>
        <w:t xml:space="preserve">is designated as a public benefit corporation.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